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35" w:rsidRPr="00521CFE" w:rsidRDefault="00521CFE" w:rsidP="00521CFE">
      <w:pPr>
        <w:spacing w:before="100" w:beforeAutospacing="1" w:after="100" w:afterAutospacing="1" w:line="240" w:lineRule="auto"/>
        <w:jc w:val="both"/>
        <w:outlineLvl w:val="0"/>
        <w:rPr>
          <w:rFonts w:ascii="Book Antiqua" w:eastAsia="Times New Roman" w:hAnsi="Book Antiqua" w:cs="Times New Roman"/>
          <w:b/>
          <w:bCs/>
          <w:spacing w:val="-4"/>
          <w:kern w:val="36"/>
          <w:sz w:val="28"/>
          <w:szCs w:val="28"/>
        </w:rPr>
      </w:pPr>
      <w:r w:rsidRPr="00521CFE">
        <w:rPr>
          <w:rFonts w:ascii="Book Antiqua" w:hAnsi="Book Antiqu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BFB42" wp14:editId="59530744">
                <wp:simplePos x="0" y="0"/>
                <wp:positionH relativeFrom="column">
                  <wp:posOffset>-514350</wp:posOffset>
                </wp:positionH>
                <wp:positionV relativeFrom="paragraph">
                  <wp:posOffset>-927100</wp:posOffset>
                </wp:positionV>
                <wp:extent cx="6410325" cy="295275"/>
                <wp:effectExtent l="0" t="0" r="28575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95275"/>
                        </a:xfrm>
                        <a:prstGeom prst="flowChartProcess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8E19AD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-40.5pt;margin-top:-73pt;width:504.7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" fillcolor="#548235" strokecolor="#41719c" strokeweight="1pt"/>
            </w:pict>
          </mc:Fallback>
        </mc:AlternateContent>
      </w:r>
      <w:r w:rsidRPr="00521CFE">
        <w:rPr>
          <w:rFonts w:ascii="Book Antiqua" w:hAnsi="Book Antiqu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5A90D" wp14:editId="71F3166F">
                <wp:simplePos x="0" y="0"/>
                <wp:positionH relativeFrom="column">
                  <wp:posOffset>-942975</wp:posOffset>
                </wp:positionH>
                <wp:positionV relativeFrom="paragraph">
                  <wp:posOffset>-923925</wp:posOffset>
                </wp:positionV>
                <wp:extent cx="428625" cy="15468600"/>
                <wp:effectExtent l="0" t="0" r="28575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5468600"/>
                        </a:xfrm>
                        <a:prstGeom prst="flowChartProcess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71FBD" id="Flowchart: Process 1" o:spid="_x0000_s1026" type="#_x0000_t109" style="position:absolute;margin-left:-74.25pt;margin-top:-72.75pt;width:33.75pt;height:12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" fillcolor="#548235" strokecolor="#41719c" strokeweight="1pt"/>
            </w:pict>
          </mc:Fallback>
        </mc:AlternateContent>
      </w:r>
      <w:r w:rsidRPr="00521CFE">
        <w:rPr>
          <w:rFonts w:ascii="Book Antiqua" w:eastAsia="Times New Roman" w:hAnsi="Book Antiqua" w:cs="Times New Roman"/>
          <w:b/>
          <w:bCs/>
          <w:spacing w:val="-4"/>
          <w:kern w:val="36"/>
          <w:sz w:val="28"/>
          <w:szCs w:val="28"/>
        </w:rPr>
        <w:t>PARTNERSHIPS</w:t>
      </w:r>
    </w:p>
    <w:p w:rsidR="000B0735" w:rsidRPr="00521CFE" w:rsidRDefault="000B0735" w:rsidP="00521CF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color w:val="111111"/>
          <w:sz w:val="28"/>
          <w:szCs w:val="28"/>
        </w:rPr>
      </w:pPr>
      <w:r w:rsidRPr="00521CFE">
        <w:rPr>
          <w:rFonts w:ascii="Book Antiqua" w:eastAsia="Times New Roman" w:hAnsi="Book Antiqua" w:cs="Times New Roman"/>
          <w:b/>
          <w:bCs/>
          <w:color w:val="111111"/>
          <w:sz w:val="28"/>
          <w:szCs w:val="28"/>
        </w:rPr>
        <w:t>Types of Partnerships</w:t>
      </w:r>
    </w:p>
    <w:p w:rsidR="000B0735" w:rsidRPr="00521CFE" w:rsidRDefault="00521CFE" w:rsidP="00521CF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color w:val="111111"/>
          <w:sz w:val="24"/>
          <w:szCs w:val="24"/>
        </w:rPr>
      </w:pPr>
      <w:r w:rsidRPr="00521CFE">
        <w:rPr>
          <w:rFonts w:ascii="Book Antiqua" w:eastAsia="Times New Roman" w:hAnsi="Book Antiqua" w:cs="Times New Roman"/>
          <w:b/>
          <w:bCs/>
          <w:color w:val="111111"/>
          <w:sz w:val="24"/>
          <w:szCs w:val="24"/>
        </w:rPr>
        <w:t>KENYA SCOUTS AS THE LEAD</w:t>
      </w:r>
      <w:r w:rsidR="000B0735" w:rsidRPr="00521CFE">
        <w:rPr>
          <w:rFonts w:ascii="Book Antiqua" w:eastAsia="Times New Roman" w:hAnsi="Book Antiqua" w:cs="Times New Roman"/>
          <w:b/>
          <w:bCs/>
          <w:color w:val="111111"/>
          <w:sz w:val="24"/>
          <w:szCs w:val="24"/>
        </w:rPr>
        <w:t xml:space="preserve"> </w:t>
      </w:r>
    </w:p>
    <w:p w:rsidR="000B0735" w:rsidRPr="00521CFE" w:rsidRDefault="000B0735" w:rsidP="00521CF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 Antiqua" w:eastAsia="Times New Roman" w:hAnsi="Book Antiqua" w:cs="Times New Roman"/>
          <w:color w:val="111111"/>
          <w:sz w:val="24"/>
          <w:szCs w:val="24"/>
        </w:rPr>
      </w:pPr>
      <w:r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 xml:space="preserve">If the </w:t>
      </w:r>
      <w:r w:rsidR="00521CFE"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>Association</w:t>
      </w:r>
      <w:r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 xml:space="preserve"> is the lead partner, the </w:t>
      </w:r>
      <w:r w:rsidR="00521CFE">
        <w:rPr>
          <w:rFonts w:ascii="Book Antiqua" w:eastAsia="Times New Roman" w:hAnsi="Book Antiqua" w:cs="Times New Roman"/>
          <w:color w:val="111111"/>
          <w:sz w:val="24"/>
          <w:szCs w:val="24"/>
        </w:rPr>
        <w:t>KSA</w:t>
      </w:r>
      <w:r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 xml:space="preserve"> brand takes precedence and materials </w:t>
      </w:r>
      <w:proofErr w:type="gramStart"/>
      <w:r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>should be designed</w:t>
      </w:r>
      <w:proofErr w:type="gramEnd"/>
      <w:r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 xml:space="preserve"> in such manner.</w:t>
      </w:r>
    </w:p>
    <w:p w:rsidR="00521CFE" w:rsidRPr="00521CFE" w:rsidRDefault="00521CFE" w:rsidP="00521CF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color w:val="111111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color w:val="111111"/>
          <w:sz w:val="24"/>
          <w:szCs w:val="24"/>
        </w:rPr>
        <w:t>KENYA SCOUTS AS AN EQUAL PARTNER</w:t>
      </w:r>
      <w:r w:rsidR="000B0735" w:rsidRPr="00521CFE">
        <w:rPr>
          <w:rFonts w:ascii="Book Antiqua" w:eastAsia="Times New Roman" w:hAnsi="Book Antiqua" w:cs="Times New Roman"/>
          <w:b/>
          <w:bCs/>
          <w:color w:val="111111"/>
          <w:sz w:val="24"/>
          <w:szCs w:val="24"/>
        </w:rPr>
        <w:t xml:space="preserve"> </w:t>
      </w:r>
    </w:p>
    <w:p w:rsidR="000B0735" w:rsidRPr="00521CFE" w:rsidRDefault="000B0735" w:rsidP="00521CF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 Antiqua" w:eastAsia="Times New Roman" w:hAnsi="Book Antiqua" w:cs="Times New Roman"/>
          <w:color w:val="111111"/>
          <w:sz w:val="24"/>
          <w:szCs w:val="24"/>
        </w:rPr>
      </w:pPr>
      <w:r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 xml:space="preserve">If all partners have equal stake, the </w:t>
      </w:r>
      <w:r w:rsidR="00521CFE">
        <w:rPr>
          <w:rFonts w:ascii="Book Antiqua" w:eastAsia="Times New Roman" w:hAnsi="Book Antiqua" w:cs="Times New Roman"/>
          <w:color w:val="111111"/>
          <w:sz w:val="24"/>
          <w:szCs w:val="24"/>
        </w:rPr>
        <w:t>KSA</w:t>
      </w:r>
      <w:r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 xml:space="preserve"> brand should not take precedence. Neutral branding </w:t>
      </w:r>
      <w:proofErr w:type="gramStart"/>
      <w:r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>should be used</w:t>
      </w:r>
      <w:proofErr w:type="gramEnd"/>
      <w:r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 xml:space="preserve"> to accommodate all parties.</w:t>
      </w:r>
    </w:p>
    <w:p w:rsidR="000B0735" w:rsidRPr="00521CFE" w:rsidRDefault="00521CFE" w:rsidP="00521CF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color w:val="111111"/>
          <w:sz w:val="24"/>
          <w:szCs w:val="24"/>
        </w:rPr>
      </w:pPr>
      <w:r w:rsidRPr="00521CFE">
        <w:rPr>
          <w:rFonts w:ascii="Book Antiqua" w:eastAsia="Times New Roman" w:hAnsi="Book Antiqua" w:cs="Times New Roman"/>
          <w:b/>
          <w:bCs/>
          <w:color w:val="111111"/>
          <w:sz w:val="24"/>
          <w:szCs w:val="24"/>
        </w:rPr>
        <w:t>K</w:t>
      </w:r>
      <w:r w:rsidR="00DC650C">
        <w:rPr>
          <w:rFonts w:ascii="Book Antiqua" w:eastAsia="Times New Roman" w:hAnsi="Book Antiqua" w:cs="Times New Roman"/>
          <w:b/>
          <w:bCs/>
          <w:color w:val="111111"/>
          <w:sz w:val="24"/>
          <w:szCs w:val="24"/>
        </w:rPr>
        <w:t xml:space="preserve">ENYA </w:t>
      </w:r>
      <w:r w:rsidRPr="00521CFE">
        <w:rPr>
          <w:rFonts w:ascii="Book Antiqua" w:eastAsia="Times New Roman" w:hAnsi="Book Antiqua" w:cs="Times New Roman"/>
          <w:b/>
          <w:bCs/>
          <w:color w:val="111111"/>
          <w:sz w:val="24"/>
          <w:szCs w:val="24"/>
        </w:rPr>
        <w:t>S</w:t>
      </w:r>
      <w:r w:rsidR="00DC650C">
        <w:rPr>
          <w:rFonts w:ascii="Book Antiqua" w:eastAsia="Times New Roman" w:hAnsi="Book Antiqua" w:cs="Times New Roman"/>
          <w:b/>
          <w:bCs/>
          <w:color w:val="111111"/>
          <w:sz w:val="24"/>
          <w:szCs w:val="24"/>
        </w:rPr>
        <w:t xml:space="preserve">COUTS </w:t>
      </w:r>
      <w:r w:rsidRPr="00521CFE">
        <w:rPr>
          <w:rFonts w:ascii="Book Antiqua" w:eastAsia="Times New Roman" w:hAnsi="Book Antiqua" w:cs="Times New Roman"/>
          <w:b/>
          <w:bCs/>
          <w:color w:val="111111"/>
          <w:sz w:val="24"/>
          <w:szCs w:val="24"/>
        </w:rPr>
        <w:t>A</w:t>
      </w:r>
      <w:r w:rsidR="00DC650C">
        <w:rPr>
          <w:rFonts w:ascii="Book Antiqua" w:eastAsia="Times New Roman" w:hAnsi="Book Antiqua" w:cs="Times New Roman"/>
          <w:b/>
          <w:bCs/>
          <w:color w:val="111111"/>
          <w:sz w:val="24"/>
          <w:szCs w:val="24"/>
        </w:rPr>
        <w:t>SSOCIATION</w:t>
      </w:r>
      <w:r w:rsidRPr="00521CFE">
        <w:rPr>
          <w:rFonts w:ascii="Book Antiqua" w:eastAsia="Times New Roman" w:hAnsi="Book Antiqua" w:cs="Times New Roman"/>
          <w:b/>
          <w:bCs/>
          <w:color w:val="111111"/>
          <w:sz w:val="24"/>
          <w:szCs w:val="24"/>
        </w:rPr>
        <w:t xml:space="preserve"> SUPPORTED BY AN EXTERNAL PARTY</w:t>
      </w:r>
    </w:p>
    <w:p w:rsidR="000B0735" w:rsidRPr="00521CFE" w:rsidRDefault="00521CFE" w:rsidP="00521CF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 Antiqua" w:eastAsia="Times New Roman" w:hAnsi="Book Antiqua" w:cs="Times New Roman"/>
          <w:color w:val="111111"/>
          <w:sz w:val="24"/>
          <w:szCs w:val="24"/>
        </w:rPr>
      </w:pPr>
      <w:r>
        <w:rPr>
          <w:rFonts w:ascii="Book Antiqua" w:eastAsia="Times New Roman" w:hAnsi="Book Antiqua" w:cs="Times New Roman"/>
          <w:color w:val="111111"/>
          <w:sz w:val="24"/>
          <w:szCs w:val="24"/>
        </w:rPr>
        <w:t xml:space="preserve">If KSA </w:t>
      </w:r>
      <w:r w:rsidR="000B0735"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 xml:space="preserve">or any of its programs </w:t>
      </w:r>
      <w:proofErr w:type="gramStart"/>
      <w:r w:rsidR="000B0735"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>are supported or sponsored by an external party,</w:t>
      </w:r>
      <w:proofErr w:type="gramEnd"/>
      <w:r w:rsidR="000B0735"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 xml:space="preserve"> the </w:t>
      </w:r>
      <w:r>
        <w:rPr>
          <w:rFonts w:ascii="Book Antiqua" w:eastAsia="Times New Roman" w:hAnsi="Book Antiqua" w:cs="Times New Roman"/>
          <w:color w:val="111111"/>
          <w:sz w:val="24"/>
          <w:szCs w:val="24"/>
        </w:rPr>
        <w:t xml:space="preserve">KSA </w:t>
      </w:r>
      <w:r w:rsidR="000B0735"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 xml:space="preserve">brand should not be used and marketing materials or communications should not be represented as official correspondence from the </w:t>
      </w:r>
      <w:r>
        <w:rPr>
          <w:rFonts w:ascii="Book Antiqua" w:eastAsia="Times New Roman" w:hAnsi="Book Antiqua" w:cs="Times New Roman"/>
          <w:color w:val="111111"/>
          <w:sz w:val="24"/>
          <w:szCs w:val="24"/>
        </w:rPr>
        <w:t>Association</w:t>
      </w:r>
      <w:r w:rsidR="000B0735"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>.</w:t>
      </w:r>
    </w:p>
    <w:p w:rsidR="000B0735" w:rsidRPr="00521CFE" w:rsidRDefault="000B0735" w:rsidP="00521CF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 Antiqua" w:eastAsia="Times New Roman" w:hAnsi="Book Antiqua" w:cs="Times New Roman"/>
          <w:color w:val="111111"/>
          <w:sz w:val="24"/>
          <w:szCs w:val="24"/>
        </w:rPr>
      </w:pPr>
      <w:r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>You must include a phrase indicating that the external party is in support of UH or its program.</w:t>
      </w:r>
    </w:p>
    <w:p w:rsidR="000B0735" w:rsidRPr="00521CFE" w:rsidRDefault="000B0735" w:rsidP="00521CF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 Antiqua" w:eastAsia="Times New Roman" w:hAnsi="Book Antiqua" w:cs="Times New Roman"/>
          <w:color w:val="111111"/>
          <w:sz w:val="24"/>
          <w:szCs w:val="24"/>
        </w:rPr>
      </w:pPr>
      <w:r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>For example: The Friends of Women’s Studies supports the Women Gender and Sexuality Studies program at the University of Houston.</w:t>
      </w:r>
    </w:p>
    <w:p w:rsidR="000B0735" w:rsidRPr="005510F9" w:rsidRDefault="00DC650C" w:rsidP="005510F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color w:val="111111"/>
          <w:sz w:val="24"/>
          <w:szCs w:val="24"/>
        </w:rPr>
      </w:pPr>
      <w:r w:rsidRPr="00521CFE">
        <w:rPr>
          <w:rFonts w:ascii="Book Antiqua" w:eastAsia="Times New Roman" w:hAnsi="Book Antiqua" w:cs="Times New Roman"/>
          <w:b/>
          <w:bCs/>
          <w:color w:val="111111"/>
          <w:sz w:val="24"/>
          <w:szCs w:val="24"/>
        </w:rPr>
        <w:t>K</w:t>
      </w:r>
      <w:r>
        <w:rPr>
          <w:rFonts w:ascii="Book Antiqua" w:eastAsia="Times New Roman" w:hAnsi="Book Antiqua" w:cs="Times New Roman"/>
          <w:b/>
          <w:bCs/>
          <w:color w:val="111111"/>
          <w:sz w:val="24"/>
          <w:szCs w:val="24"/>
        </w:rPr>
        <w:t xml:space="preserve">ENYA </w:t>
      </w:r>
      <w:r w:rsidRPr="00521CFE">
        <w:rPr>
          <w:rFonts w:ascii="Book Antiqua" w:eastAsia="Times New Roman" w:hAnsi="Book Antiqua" w:cs="Times New Roman"/>
          <w:b/>
          <w:bCs/>
          <w:color w:val="111111"/>
          <w:sz w:val="24"/>
          <w:szCs w:val="24"/>
        </w:rPr>
        <w:t>S</w:t>
      </w:r>
      <w:r>
        <w:rPr>
          <w:rFonts w:ascii="Book Antiqua" w:eastAsia="Times New Roman" w:hAnsi="Book Antiqua" w:cs="Times New Roman"/>
          <w:b/>
          <w:bCs/>
          <w:color w:val="111111"/>
          <w:sz w:val="24"/>
          <w:szCs w:val="24"/>
        </w:rPr>
        <w:t xml:space="preserve">COUTS </w:t>
      </w:r>
      <w:r w:rsidRPr="00521CFE">
        <w:rPr>
          <w:rFonts w:ascii="Book Antiqua" w:eastAsia="Times New Roman" w:hAnsi="Book Antiqua" w:cs="Times New Roman"/>
          <w:b/>
          <w:bCs/>
          <w:color w:val="111111"/>
          <w:sz w:val="24"/>
          <w:szCs w:val="24"/>
        </w:rPr>
        <w:t>A</w:t>
      </w:r>
      <w:r>
        <w:rPr>
          <w:rFonts w:ascii="Book Antiqua" w:eastAsia="Times New Roman" w:hAnsi="Book Antiqua" w:cs="Times New Roman"/>
          <w:b/>
          <w:bCs/>
          <w:color w:val="111111"/>
          <w:sz w:val="24"/>
          <w:szCs w:val="24"/>
        </w:rPr>
        <w:t>SSOCIATION</w:t>
      </w:r>
      <w:r w:rsidRPr="00521CFE">
        <w:rPr>
          <w:rFonts w:ascii="Book Antiqua" w:eastAsia="Times New Roman" w:hAnsi="Book Antiqua" w:cs="Times New Roman"/>
          <w:b/>
          <w:bCs/>
          <w:color w:val="111111"/>
          <w:sz w:val="24"/>
          <w:szCs w:val="24"/>
        </w:rPr>
        <w:t xml:space="preserve"> </w:t>
      </w:r>
      <w:r w:rsidR="005510F9" w:rsidRPr="005510F9">
        <w:rPr>
          <w:rFonts w:ascii="Book Antiqua" w:eastAsia="Times New Roman" w:hAnsi="Book Antiqua" w:cs="Times New Roman"/>
          <w:b/>
          <w:bCs/>
          <w:color w:val="111111"/>
          <w:sz w:val="24"/>
          <w:szCs w:val="24"/>
        </w:rPr>
        <w:t>AS A/THE SPONSOR</w:t>
      </w:r>
      <w:bookmarkStart w:id="0" w:name="_GoBack"/>
      <w:bookmarkEnd w:id="0"/>
    </w:p>
    <w:p w:rsidR="000B0735" w:rsidRPr="00521CFE" w:rsidRDefault="005510F9" w:rsidP="005510F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 Antiqua" w:eastAsia="Times New Roman" w:hAnsi="Book Antiqua" w:cs="Times New Roman"/>
          <w:color w:val="111111"/>
          <w:sz w:val="24"/>
          <w:szCs w:val="24"/>
        </w:rPr>
      </w:pPr>
      <w:r>
        <w:rPr>
          <w:rFonts w:ascii="Book Antiqua" w:eastAsia="Times New Roman" w:hAnsi="Book Antiqua" w:cs="Times New Roman"/>
          <w:color w:val="111111"/>
          <w:sz w:val="24"/>
          <w:szCs w:val="24"/>
        </w:rPr>
        <w:t xml:space="preserve">If KSA </w:t>
      </w:r>
      <w:r w:rsidR="000B0735"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>has endorsed/sponsored/or given to another organization, the </w:t>
      </w:r>
      <w:r>
        <w:rPr>
          <w:rFonts w:ascii="Book Antiqua" w:eastAsia="Times New Roman" w:hAnsi="Book Antiqua" w:cs="Times New Roman"/>
          <w:color w:val="111111"/>
          <w:sz w:val="24"/>
          <w:szCs w:val="24"/>
        </w:rPr>
        <w:t>KSA</w:t>
      </w:r>
      <w:r w:rsidR="000B0735"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> </w:t>
      </w:r>
      <w:r>
        <w:rPr>
          <w:rFonts w:ascii="Book Antiqua" w:eastAsia="Times New Roman" w:hAnsi="Book Antiqua" w:cs="Times New Roman"/>
          <w:color w:val="111111"/>
          <w:sz w:val="24"/>
          <w:szCs w:val="24"/>
        </w:rPr>
        <w:t>Brand elements</w:t>
      </w:r>
      <w:r w:rsidR="000B0735"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 xml:space="preserve"> </w:t>
      </w:r>
      <w:proofErr w:type="gramStart"/>
      <w:r w:rsidR="000B0735"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>should be used</w:t>
      </w:r>
      <w:proofErr w:type="gramEnd"/>
      <w:r w:rsidR="000B0735"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 xml:space="preserve"> along with language that clearly indicates the relationship between the </w:t>
      </w:r>
      <w:r>
        <w:rPr>
          <w:rFonts w:ascii="Book Antiqua" w:eastAsia="Times New Roman" w:hAnsi="Book Antiqua" w:cs="Times New Roman"/>
          <w:color w:val="111111"/>
          <w:sz w:val="24"/>
          <w:szCs w:val="24"/>
        </w:rPr>
        <w:t>Association</w:t>
      </w:r>
      <w:r w:rsidR="000B0735"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 xml:space="preserve"> and the sponsored organization</w:t>
      </w:r>
    </w:p>
    <w:p w:rsidR="000B0735" w:rsidRPr="00521CFE" w:rsidRDefault="000B0735" w:rsidP="0052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111111"/>
          <w:sz w:val="24"/>
          <w:szCs w:val="24"/>
        </w:rPr>
      </w:pPr>
      <w:r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>Contact </w:t>
      </w:r>
      <w:hyperlink r:id="rId5" w:history="1">
        <w:r w:rsidR="005510F9" w:rsidRPr="007C7221">
          <w:rPr>
            <w:rStyle w:val="Hyperlink"/>
            <w:rFonts w:ascii="Book Antiqua" w:eastAsia="Times New Roman" w:hAnsi="Book Antiqua" w:cs="Times New Roman"/>
            <w:sz w:val="24"/>
            <w:szCs w:val="24"/>
          </w:rPr>
          <w:t>communications@kenyascouts.org</w:t>
        </w:r>
      </w:hyperlink>
      <w:r w:rsidR="005510F9">
        <w:rPr>
          <w:rFonts w:ascii="Book Antiqua" w:eastAsia="Times New Roman" w:hAnsi="Book Antiqua" w:cs="Times New Roman"/>
          <w:color w:val="111111"/>
          <w:sz w:val="24"/>
          <w:szCs w:val="24"/>
        </w:rPr>
        <w:t xml:space="preserve"> </w:t>
      </w:r>
      <w:hyperlink r:id="rId6" w:history="1"/>
      <w:r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 xml:space="preserve"> with any details about your partnership and any relevant organizations. </w:t>
      </w:r>
      <w:r w:rsidR="005510F9">
        <w:rPr>
          <w:rFonts w:ascii="Book Antiqua" w:eastAsia="Times New Roman" w:hAnsi="Book Antiqua" w:cs="Times New Roman"/>
          <w:color w:val="111111"/>
          <w:sz w:val="24"/>
          <w:szCs w:val="24"/>
        </w:rPr>
        <w:t xml:space="preserve">The </w:t>
      </w:r>
      <w:r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 xml:space="preserve">Communication </w:t>
      </w:r>
      <w:r w:rsidR="005510F9">
        <w:rPr>
          <w:rFonts w:ascii="Book Antiqua" w:eastAsia="Times New Roman" w:hAnsi="Book Antiqua" w:cs="Times New Roman"/>
          <w:color w:val="111111"/>
          <w:sz w:val="24"/>
          <w:szCs w:val="24"/>
        </w:rPr>
        <w:t>Department</w:t>
      </w:r>
      <w:r w:rsidRPr="00521CFE">
        <w:rPr>
          <w:rFonts w:ascii="Book Antiqua" w:eastAsia="Times New Roman" w:hAnsi="Book Antiqua" w:cs="Times New Roman"/>
          <w:color w:val="111111"/>
          <w:sz w:val="24"/>
          <w:szCs w:val="24"/>
        </w:rPr>
        <w:t xml:space="preserve"> will assist in determining what relationship and use of brand is relevant.</w:t>
      </w:r>
    </w:p>
    <w:p w:rsidR="0071206E" w:rsidRPr="00521CFE" w:rsidRDefault="0071206E" w:rsidP="00521CFE">
      <w:pPr>
        <w:jc w:val="both"/>
        <w:rPr>
          <w:rFonts w:ascii="Book Antiqua" w:hAnsi="Book Antiqua"/>
          <w:sz w:val="24"/>
          <w:szCs w:val="24"/>
        </w:rPr>
      </w:pPr>
    </w:p>
    <w:sectPr w:rsidR="0071206E" w:rsidRPr="00521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D322C"/>
    <w:multiLevelType w:val="hybridMultilevel"/>
    <w:tmpl w:val="09125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35"/>
    <w:rsid w:val="000B0735"/>
    <w:rsid w:val="003405FA"/>
    <w:rsid w:val="00521CFE"/>
    <w:rsid w:val="005510F9"/>
    <w:rsid w:val="0071206E"/>
    <w:rsid w:val="00D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B3A47-0801-4321-AEFE-37939469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nding@uh.edu" TargetMode="External"/><Relationship Id="rId5" Type="http://schemas.openxmlformats.org/officeDocument/2006/relationships/hyperlink" Target="mailto:communications@kenyascou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2020-07-10T12:06:00Z</dcterms:created>
  <dcterms:modified xsi:type="dcterms:W3CDTF">2020-07-10T12:06:00Z</dcterms:modified>
</cp:coreProperties>
</file>