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1B" w:rsidRPr="00BE5C1B" w:rsidRDefault="00CD59F1" w:rsidP="00BE5C1B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11058" wp14:editId="4EDCC38E">
                <wp:simplePos x="0" y="0"/>
                <wp:positionH relativeFrom="column">
                  <wp:posOffset>-904875</wp:posOffset>
                </wp:positionH>
                <wp:positionV relativeFrom="paragraph">
                  <wp:posOffset>-923925</wp:posOffset>
                </wp:positionV>
                <wp:extent cx="6410325" cy="29527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9527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923C24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-71.25pt;margin-top:-72.75pt;width:504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" fillcolor="#538135 [2409]" strokecolor="#1f4d78 [1604]" strokeweight="1pt"/>
            </w:pict>
          </mc:Fallback>
        </mc:AlternateContent>
      </w:r>
      <w:r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A18F4" wp14:editId="20FC1B24">
                <wp:simplePos x="0" y="0"/>
                <wp:positionH relativeFrom="column">
                  <wp:posOffset>-904875</wp:posOffset>
                </wp:positionH>
                <wp:positionV relativeFrom="paragraph">
                  <wp:posOffset>-628650</wp:posOffset>
                </wp:positionV>
                <wp:extent cx="428625" cy="1546860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4686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7C80" id="Flowchart: Process 1" o:spid="_x0000_s1026" type="#_x0000_t109" style="position:absolute;margin-left:-71.25pt;margin-top:-49.5pt;width:33.75pt;height:12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" fillcolor="#538135 [2409]" strokecolor="#1f4d78 [1604]" strokeweight="1pt"/>
            </w:pict>
          </mc:Fallback>
        </mc:AlternateContent>
      </w:r>
      <w:r w:rsidRPr="00BE5C1B">
        <w:rPr>
          <w:rFonts w:ascii="Book Antiqua" w:hAnsi="Book Antiqua"/>
          <w:b/>
          <w:bCs/>
          <w:sz w:val="24"/>
          <w:szCs w:val="24"/>
        </w:rPr>
        <w:t xml:space="preserve">NEWS MEDIA </w:t>
      </w:r>
      <w:r w:rsidR="00D22465">
        <w:rPr>
          <w:rFonts w:ascii="Book Antiqua" w:hAnsi="Book Antiqua"/>
          <w:b/>
          <w:bCs/>
          <w:sz w:val="24"/>
          <w:szCs w:val="24"/>
        </w:rPr>
        <w:t>GUIDELINES</w:t>
      </w:r>
    </w:p>
    <w:p w:rsidR="00BE5C1B" w:rsidRPr="00BE5C1B" w:rsidRDefault="00BE5C1B" w:rsidP="00BE5C1B">
      <w:pPr>
        <w:jc w:val="both"/>
        <w:rPr>
          <w:rFonts w:ascii="Book Antiqua" w:hAnsi="Book Antiqua"/>
          <w:sz w:val="24"/>
          <w:szCs w:val="24"/>
        </w:rPr>
      </w:pPr>
      <w:r w:rsidRPr="00BE5C1B">
        <w:rPr>
          <w:rFonts w:ascii="Book Antiqua" w:hAnsi="Book Antiqua"/>
          <w:sz w:val="24"/>
          <w:szCs w:val="24"/>
        </w:rPr>
        <w:t xml:space="preserve">To provide clear, concise communications, all media inquiries </w:t>
      </w:r>
      <w:proofErr w:type="gramStart"/>
      <w:r w:rsidRPr="00BE5C1B">
        <w:rPr>
          <w:rFonts w:ascii="Book Antiqua" w:hAnsi="Book Antiqua"/>
          <w:sz w:val="24"/>
          <w:szCs w:val="24"/>
        </w:rPr>
        <w:t>should be channeled</w:t>
      </w:r>
      <w:proofErr w:type="gramEnd"/>
      <w:r w:rsidRPr="00BE5C1B">
        <w:rPr>
          <w:rFonts w:ascii="Book Antiqua" w:hAnsi="Book Antiqua"/>
          <w:sz w:val="24"/>
          <w:szCs w:val="24"/>
        </w:rPr>
        <w:t xml:space="preserve"> through the </w:t>
      </w:r>
      <w:r w:rsidR="00CD59F1">
        <w:rPr>
          <w:rFonts w:ascii="Book Antiqua" w:hAnsi="Book Antiqua"/>
          <w:sz w:val="24"/>
          <w:szCs w:val="24"/>
        </w:rPr>
        <w:t xml:space="preserve">Communications and Public Relations </w:t>
      </w:r>
      <w:r w:rsidRPr="00BE5C1B">
        <w:rPr>
          <w:rFonts w:ascii="Book Antiqua" w:hAnsi="Book Antiqua"/>
          <w:sz w:val="24"/>
          <w:szCs w:val="24"/>
        </w:rPr>
        <w:t xml:space="preserve">Office of </w:t>
      </w:r>
      <w:r w:rsidR="00CD59F1">
        <w:rPr>
          <w:rFonts w:ascii="Book Antiqua" w:hAnsi="Book Antiqua"/>
          <w:sz w:val="24"/>
          <w:szCs w:val="24"/>
        </w:rPr>
        <w:t>the Association through the National Executive Commissioner</w:t>
      </w:r>
      <w:r w:rsidRPr="00BE5C1B">
        <w:rPr>
          <w:rFonts w:ascii="Book Antiqua" w:hAnsi="Book Antiqua"/>
          <w:sz w:val="24"/>
          <w:szCs w:val="24"/>
        </w:rPr>
        <w:t xml:space="preserve">. This policy </w:t>
      </w:r>
      <w:proofErr w:type="gramStart"/>
      <w:r w:rsidRPr="00BE5C1B">
        <w:rPr>
          <w:rFonts w:ascii="Book Antiqua" w:hAnsi="Book Antiqua"/>
          <w:sz w:val="24"/>
          <w:szCs w:val="24"/>
        </w:rPr>
        <w:t>was established</w:t>
      </w:r>
      <w:proofErr w:type="gramEnd"/>
      <w:r w:rsidRPr="00BE5C1B">
        <w:rPr>
          <w:rFonts w:ascii="Book Antiqua" w:hAnsi="Book Antiqua"/>
          <w:sz w:val="24"/>
          <w:szCs w:val="24"/>
        </w:rPr>
        <w:t xml:space="preserve"> to describe the </w:t>
      </w:r>
      <w:r w:rsidR="00CD59F1">
        <w:rPr>
          <w:rFonts w:ascii="Book Antiqua" w:hAnsi="Book Antiqua"/>
          <w:sz w:val="24"/>
          <w:szCs w:val="24"/>
        </w:rPr>
        <w:t xml:space="preserve">Association’s </w:t>
      </w:r>
      <w:r w:rsidRPr="00BE5C1B">
        <w:rPr>
          <w:rFonts w:ascii="Book Antiqua" w:hAnsi="Book Antiqua"/>
          <w:sz w:val="24"/>
          <w:szCs w:val="24"/>
        </w:rPr>
        <w:t>position with respect to interacting with news media representatives. For the purpose of this policy, news media shall refer to representatives of newspapers, magazines, newsletters, online publications, television and radio.</w:t>
      </w:r>
    </w:p>
    <w:p w:rsidR="00BE5C1B" w:rsidRPr="00BE5C1B" w:rsidRDefault="00BE5C1B" w:rsidP="00BE5C1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BE5C1B">
        <w:rPr>
          <w:rFonts w:ascii="Book Antiqua" w:hAnsi="Book Antiqua"/>
          <w:b/>
          <w:bCs/>
          <w:sz w:val="24"/>
          <w:szCs w:val="24"/>
        </w:rPr>
        <w:t>Policy</w:t>
      </w:r>
    </w:p>
    <w:p w:rsidR="00BE5C1B" w:rsidRPr="00BE5C1B" w:rsidRDefault="00BE5C1B" w:rsidP="00BE5C1B">
      <w:pPr>
        <w:jc w:val="both"/>
        <w:rPr>
          <w:rFonts w:ascii="Book Antiqua" w:hAnsi="Book Antiqua"/>
          <w:sz w:val="24"/>
          <w:szCs w:val="24"/>
        </w:rPr>
      </w:pPr>
      <w:r w:rsidRPr="00BE5C1B">
        <w:rPr>
          <w:rFonts w:ascii="Book Antiqua" w:hAnsi="Book Antiqua"/>
          <w:sz w:val="24"/>
          <w:szCs w:val="24"/>
        </w:rPr>
        <w:t xml:space="preserve">An employee or department that seeks to publicize a program, event or achievement should contact the </w:t>
      </w:r>
      <w:r w:rsidR="00CD59F1">
        <w:rPr>
          <w:rFonts w:ascii="Book Antiqua" w:hAnsi="Book Antiqua"/>
          <w:sz w:val="24"/>
          <w:szCs w:val="24"/>
        </w:rPr>
        <w:t xml:space="preserve">Communications and Public Relations </w:t>
      </w:r>
      <w:r w:rsidRPr="00BE5C1B">
        <w:rPr>
          <w:rFonts w:ascii="Book Antiqua" w:hAnsi="Book Antiqua"/>
          <w:sz w:val="24"/>
          <w:szCs w:val="24"/>
        </w:rPr>
        <w:t xml:space="preserve">Office of </w:t>
      </w:r>
      <w:r w:rsidR="00CD59F1">
        <w:rPr>
          <w:rFonts w:ascii="Book Antiqua" w:hAnsi="Book Antiqua"/>
          <w:sz w:val="24"/>
          <w:szCs w:val="24"/>
        </w:rPr>
        <w:t>the Association</w:t>
      </w:r>
      <w:r w:rsidRPr="00BE5C1B">
        <w:rPr>
          <w:rFonts w:ascii="Book Antiqua" w:hAnsi="Book Antiqua"/>
          <w:sz w:val="24"/>
          <w:szCs w:val="24"/>
        </w:rPr>
        <w:t xml:space="preserve">. </w:t>
      </w:r>
      <w:r w:rsidR="00CD59F1">
        <w:rPr>
          <w:rFonts w:ascii="Book Antiqua" w:hAnsi="Book Antiqua"/>
          <w:sz w:val="24"/>
          <w:szCs w:val="24"/>
        </w:rPr>
        <w:t>The Communications Department</w:t>
      </w:r>
      <w:r w:rsidRPr="00BE5C1B">
        <w:rPr>
          <w:rFonts w:ascii="Book Antiqua" w:hAnsi="Book Antiqua"/>
          <w:sz w:val="24"/>
          <w:szCs w:val="24"/>
        </w:rPr>
        <w:t xml:space="preserve"> has access to numerous news media contacts and will employees to coordinate publicity or visibility for programs, events or newsworthy issues.</w:t>
      </w:r>
    </w:p>
    <w:p w:rsidR="00BE5C1B" w:rsidRPr="00BE5C1B" w:rsidRDefault="00BE5C1B" w:rsidP="00BE5C1B">
      <w:pPr>
        <w:jc w:val="both"/>
        <w:rPr>
          <w:rFonts w:ascii="Book Antiqua" w:hAnsi="Book Antiqua"/>
          <w:sz w:val="24"/>
          <w:szCs w:val="24"/>
        </w:rPr>
      </w:pPr>
      <w:r w:rsidRPr="00BE5C1B">
        <w:rPr>
          <w:rFonts w:ascii="Book Antiqua" w:hAnsi="Book Antiqua"/>
          <w:sz w:val="24"/>
          <w:szCs w:val="24"/>
        </w:rPr>
        <w:t xml:space="preserve">It is the responsibility of the </w:t>
      </w:r>
      <w:r w:rsidR="00CD59F1">
        <w:rPr>
          <w:rFonts w:ascii="Book Antiqua" w:hAnsi="Book Antiqua"/>
          <w:sz w:val="24"/>
          <w:szCs w:val="24"/>
        </w:rPr>
        <w:t xml:space="preserve">Communication’s </w:t>
      </w:r>
      <w:r w:rsidRPr="00BE5C1B">
        <w:rPr>
          <w:rFonts w:ascii="Book Antiqua" w:hAnsi="Book Antiqua"/>
          <w:sz w:val="24"/>
          <w:szCs w:val="24"/>
        </w:rPr>
        <w:t xml:space="preserve">Office of </w:t>
      </w:r>
      <w:r w:rsidR="00CD59F1">
        <w:rPr>
          <w:rFonts w:ascii="Book Antiqua" w:hAnsi="Book Antiqua"/>
          <w:sz w:val="24"/>
          <w:szCs w:val="24"/>
        </w:rPr>
        <w:t>the Association</w:t>
      </w:r>
      <w:r w:rsidRPr="00BE5C1B">
        <w:rPr>
          <w:rFonts w:ascii="Book Antiqua" w:hAnsi="Book Antiqua"/>
          <w:sz w:val="24"/>
          <w:szCs w:val="24"/>
        </w:rPr>
        <w:t xml:space="preserve"> to initiate and/or respond to news media requests and to manage those interactions. When an employee or department is contacted by the news media, he/she is strongly encouraged to notify </w:t>
      </w:r>
      <w:r w:rsidR="00CD59F1">
        <w:rPr>
          <w:rFonts w:ascii="Book Antiqua" w:hAnsi="Book Antiqua"/>
          <w:sz w:val="24"/>
          <w:szCs w:val="24"/>
        </w:rPr>
        <w:t xml:space="preserve">department </w:t>
      </w:r>
      <w:r w:rsidRPr="00BE5C1B">
        <w:rPr>
          <w:rFonts w:ascii="Book Antiqua" w:hAnsi="Book Antiqua"/>
          <w:sz w:val="24"/>
          <w:szCs w:val="24"/>
        </w:rPr>
        <w:t>immediately, before providing any information or responding to questions.</w:t>
      </w:r>
    </w:p>
    <w:p w:rsidR="00BE5C1B" w:rsidRPr="00BE5C1B" w:rsidRDefault="00BE5C1B" w:rsidP="00BE5C1B">
      <w:pPr>
        <w:jc w:val="both"/>
        <w:rPr>
          <w:rFonts w:ascii="Book Antiqua" w:hAnsi="Book Antiqua"/>
          <w:sz w:val="24"/>
          <w:szCs w:val="24"/>
        </w:rPr>
      </w:pPr>
      <w:r w:rsidRPr="00BE5C1B">
        <w:rPr>
          <w:rFonts w:ascii="Book Antiqua" w:hAnsi="Book Antiqua"/>
          <w:sz w:val="24"/>
          <w:szCs w:val="24"/>
        </w:rPr>
        <w:t xml:space="preserve">While on </w:t>
      </w:r>
      <w:r w:rsidR="00CD59F1">
        <w:rPr>
          <w:rFonts w:ascii="Book Antiqua" w:hAnsi="Book Antiqua"/>
          <w:sz w:val="24"/>
          <w:szCs w:val="24"/>
        </w:rPr>
        <w:t>KSA</w:t>
      </w:r>
      <w:r w:rsidRPr="00BE5C1B">
        <w:rPr>
          <w:rFonts w:ascii="Book Antiqua" w:hAnsi="Book Antiqua"/>
          <w:sz w:val="24"/>
          <w:szCs w:val="24"/>
        </w:rPr>
        <w:t xml:space="preserve"> property, news media representatives should, if necessary and app</w:t>
      </w:r>
      <w:r w:rsidR="00CD59F1">
        <w:rPr>
          <w:rFonts w:ascii="Book Antiqua" w:hAnsi="Book Antiqua"/>
          <w:sz w:val="24"/>
          <w:szCs w:val="24"/>
        </w:rPr>
        <w:t xml:space="preserve">ropriate, be accompanied by the communications officer or the departments </w:t>
      </w:r>
      <w:r w:rsidRPr="00BE5C1B">
        <w:rPr>
          <w:rFonts w:ascii="Book Antiqua" w:hAnsi="Book Antiqua"/>
          <w:sz w:val="24"/>
          <w:szCs w:val="24"/>
        </w:rPr>
        <w:t>staff member.</w:t>
      </w:r>
    </w:p>
    <w:p w:rsidR="00CD59F1" w:rsidRDefault="00CD59F1" w:rsidP="00BE5C1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KSA</w:t>
      </w:r>
      <w:r w:rsidR="00BE5C1B" w:rsidRPr="00BE5C1B">
        <w:rPr>
          <w:rFonts w:ascii="Book Antiqua" w:hAnsi="Book Antiqua"/>
          <w:sz w:val="24"/>
          <w:szCs w:val="24"/>
        </w:rPr>
        <w:t xml:space="preserve"> complies with all applicable </w:t>
      </w:r>
      <w:r>
        <w:rPr>
          <w:rFonts w:ascii="Book Antiqua" w:hAnsi="Book Antiqua"/>
          <w:sz w:val="24"/>
          <w:szCs w:val="24"/>
        </w:rPr>
        <w:t>government</w:t>
      </w:r>
      <w:r w:rsidR="00BE5C1B" w:rsidRPr="00BE5C1B">
        <w:rPr>
          <w:rFonts w:ascii="Book Antiqua" w:hAnsi="Book Antiqua"/>
          <w:sz w:val="24"/>
          <w:szCs w:val="24"/>
        </w:rPr>
        <w:t xml:space="preserve"> laws regarding the retention and release of personal records of all current employees</w:t>
      </w:r>
      <w:r>
        <w:rPr>
          <w:rFonts w:ascii="Book Antiqua" w:hAnsi="Book Antiqua"/>
          <w:sz w:val="24"/>
          <w:szCs w:val="24"/>
        </w:rPr>
        <w:t xml:space="preserve"> in accordance to the data privacy Act in Kenya.</w:t>
      </w:r>
    </w:p>
    <w:p w:rsidR="00BE5C1B" w:rsidRPr="00BE5C1B" w:rsidRDefault="00BE5C1B" w:rsidP="00BE5C1B">
      <w:pPr>
        <w:jc w:val="both"/>
        <w:rPr>
          <w:rFonts w:ascii="Book Antiqua" w:hAnsi="Book Antiqua"/>
          <w:sz w:val="24"/>
          <w:szCs w:val="24"/>
        </w:rPr>
      </w:pPr>
      <w:r w:rsidRPr="00BE5C1B">
        <w:rPr>
          <w:rFonts w:ascii="Book Antiqua" w:hAnsi="Book Antiqua"/>
          <w:sz w:val="24"/>
          <w:szCs w:val="24"/>
        </w:rPr>
        <w:t xml:space="preserve">If an event attracts news media interest, all press releases and statements to the news media will be routed through and disseminated by the </w:t>
      </w:r>
      <w:r w:rsidR="00CD59F1">
        <w:rPr>
          <w:rFonts w:ascii="Book Antiqua" w:hAnsi="Book Antiqua"/>
          <w:sz w:val="24"/>
          <w:szCs w:val="24"/>
        </w:rPr>
        <w:t xml:space="preserve">Communications </w:t>
      </w:r>
      <w:r w:rsidRPr="00BE5C1B">
        <w:rPr>
          <w:rFonts w:ascii="Book Antiqua" w:hAnsi="Book Antiqua"/>
          <w:sz w:val="24"/>
          <w:szCs w:val="24"/>
        </w:rPr>
        <w:t xml:space="preserve">Office of </w:t>
      </w:r>
      <w:r w:rsidR="00CD59F1">
        <w:rPr>
          <w:rFonts w:ascii="Book Antiqua" w:hAnsi="Book Antiqua"/>
          <w:sz w:val="24"/>
          <w:szCs w:val="24"/>
        </w:rPr>
        <w:t>KSA</w:t>
      </w:r>
      <w:r w:rsidRPr="00BE5C1B">
        <w:rPr>
          <w:rFonts w:ascii="Book Antiqua" w:hAnsi="Book Antiqua"/>
          <w:sz w:val="24"/>
          <w:szCs w:val="24"/>
        </w:rPr>
        <w:t>. It is the responsibility of each department head to implement procedures to comply with this policy, while also ensuring that freedom of expression</w:t>
      </w:r>
      <w:r w:rsidR="00CD59F1">
        <w:rPr>
          <w:rFonts w:ascii="Book Antiqua" w:hAnsi="Book Antiqua"/>
          <w:sz w:val="24"/>
          <w:szCs w:val="24"/>
        </w:rPr>
        <w:t xml:space="preserve"> and inquiry</w:t>
      </w:r>
      <w:r w:rsidRPr="00BE5C1B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D59F1">
        <w:rPr>
          <w:rFonts w:ascii="Book Antiqua" w:hAnsi="Book Antiqua"/>
          <w:sz w:val="24"/>
          <w:szCs w:val="24"/>
        </w:rPr>
        <w:t>is</w:t>
      </w:r>
      <w:r w:rsidRPr="00BE5C1B">
        <w:rPr>
          <w:rFonts w:ascii="Book Antiqua" w:hAnsi="Book Antiqua"/>
          <w:sz w:val="24"/>
          <w:szCs w:val="24"/>
        </w:rPr>
        <w:t xml:space="preserve"> respected and observed</w:t>
      </w:r>
      <w:proofErr w:type="gramEnd"/>
      <w:r w:rsidRPr="00BE5C1B">
        <w:rPr>
          <w:rFonts w:ascii="Book Antiqua" w:hAnsi="Book Antiqua"/>
          <w:sz w:val="24"/>
          <w:szCs w:val="24"/>
        </w:rPr>
        <w:t>.</w:t>
      </w:r>
    </w:p>
    <w:p w:rsidR="00BE5C1B" w:rsidRPr="00BE5C1B" w:rsidRDefault="00BE5C1B" w:rsidP="00BE5C1B">
      <w:pPr>
        <w:jc w:val="both"/>
        <w:rPr>
          <w:rFonts w:ascii="Book Antiqua" w:hAnsi="Book Antiqua"/>
          <w:sz w:val="24"/>
          <w:szCs w:val="24"/>
        </w:rPr>
      </w:pPr>
      <w:r w:rsidRPr="00BE5C1B">
        <w:rPr>
          <w:rFonts w:ascii="Book Antiqua" w:hAnsi="Book Antiqua"/>
          <w:sz w:val="24"/>
          <w:szCs w:val="24"/>
        </w:rPr>
        <w:t xml:space="preserve">The </w:t>
      </w:r>
      <w:r w:rsidR="00CD59F1">
        <w:rPr>
          <w:rFonts w:ascii="Book Antiqua" w:hAnsi="Book Antiqua"/>
          <w:sz w:val="24"/>
          <w:szCs w:val="24"/>
        </w:rPr>
        <w:t xml:space="preserve">Association </w:t>
      </w:r>
      <w:r w:rsidRPr="00BE5C1B">
        <w:rPr>
          <w:rFonts w:ascii="Book Antiqua" w:hAnsi="Book Antiqua"/>
          <w:sz w:val="24"/>
          <w:szCs w:val="24"/>
        </w:rPr>
        <w:t xml:space="preserve">obtains authorization from those whose photographs </w:t>
      </w:r>
      <w:proofErr w:type="gramStart"/>
      <w:r w:rsidRPr="00BE5C1B">
        <w:rPr>
          <w:rFonts w:ascii="Book Antiqua" w:hAnsi="Book Antiqua"/>
          <w:sz w:val="24"/>
          <w:szCs w:val="24"/>
        </w:rPr>
        <w:t>are taken</w:t>
      </w:r>
      <w:proofErr w:type="gramEnd"/>
      <w:r w:rsidRPr="00BE5C1B">
        <w:rPr>
          <w:rFonts w:ascii="Book Antiqua" w:hAnsi="Book Antiqua"/>
          <w:sz w:val="24"/>
          <w:szCs w:val="24"/>
        </w:rPr>
        <w:t xml:space="preserve"> </w:t>
      </w:r>
      <w:r w:rsidR="00CD59F1">
        <w:rPr>
          <w:rFonts w:ascii="Book Antiqua" w:hAnsi="Book Antiqua"/>
          <w:sz w:val="24"/>
          <w:szCs w:val="24"/>
        </w:rPr>
        <w:t>with the intent to publicity</w:t>
      </w:r>
      <w:r w:rsidRPr="00BE5C1B">
        <w:rPr>
          <w:rFonts w:ascii="Book Antiqua" w:hAnsi="Book Antiqua"/>
          <w:sz w:val="24"/>
          <w:szCs w:val="24"/>
        </w:rPr>
        <w:t xml:space="preserve">. Their consent allows </w:t>
      </w:r>
      <w:r w:rsidR="00CD59F1">
        <w:rPr>
          <w:rFonts w:ascii="Book Antiqua" w:hAnsi="Book Antiqua"/>
          <w:sz w:val="24"/>
          <w:szCs w:val="24"/>
        </w:rPr>
        <w:t>KSA</w:t>
      </w:r>
      <w:r w:rsidRPr="00BE5C1B">
        <w:rPr>
          <w:rFonts w:ascii="Book Antiqua" w:hAnsi="Book Antiqua"/>
          <w:sz w:val="24"/>
          <w:szCs w:val="24"/>
        </w:rPr>
        <w:t xml:space="preserve"> to incorporate these photographs in situations appropriate to the image includi</w:t>
      </w:r>
      <w:r w:rsidR="00CD59F1">
        <w:rPr>
          <w:rFonts w:ascii="Book Antiqua" w:hAnsi="Book Antiqua"/>
          <w:sz w:val="24"/>
          <w:szCs w:val="24"/>
        </w:rPr>
        <w:t xml:space="preserve">ng release to the news media </w:t>
      </w:r>
      <w:r w:rsidRPr="00BE5C1B">
        <w:rPr>
          <w:rFonts w:ascii="Book Antiqua" w:hAnsi="Book Antiqua"/>
          <w:sz w:val="24"/>
          <w:szCs w:val="24"/>
        </w:rPr>
        <w:t xml:space="preserve">and to publish </w:t>
      </w:r>
      <w:r w:rsidR="00CD59F1">
        <w:rPr>
          <w:rFonts w:ascii="Book Antiqua" w:hAnsi="Book Antiqua"/>
          <w:sz w:val="24"/>
          <w:szCs w:val="24"/>
        </w:rPr>
        <w:t>KSA</w:t>
      </w:r>
      <w:r w:rsidRPr="00BE5C1B">
        <w:rPr>
          <w:rFonts w:ascii="Book Antiqua" w:hAnsi="Book Antiqua"/>
          <w:sz w:val="24"/>
          <w:szCs w:val="24"/>
        </w:rPr>
        <w:t xml:space="preserve"> publications, on its website, in videos, on CDs, or in other promotional materials including paid advertising.</w:t>
      </w:r>
    </w:p>
    <w:p w:rsidR="0071206E" w:rsidRDefault="0071206E" w:rsidP="00BE5C1B">
      <w:pPr>
        <w:jc w:val="both"/>
        <w:rPr>
          <w:rFonts w:ascii="Book Antiqua" w:hAnsi="Book Antiqua"/>
          <w:sz w:val="24"/>
          <w:szCs w:val="24"/>
        </w:rPr>
      </w:pPr>
    </w:p>
    <w:p w:rsidR="00D22465" w:rsidRPr="00BE5C1B" w:rsidRDefault="00D22465" w:rsidP="00BE5C1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These guidelines are an Annex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to the Communications and Public Relations Policy</w:t>
      </w:r>
    </w:p>
    <w:sectPr w:rsidR="00D22465" w:rsidRPr="00BE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B"/>
    <w:rsid w:val="002C3166"/>
    <w:rsid w:val="0071206E"/>
    <w:rsid w:val="00BE5C1B"/>
    <w:rsid w:val="00CD59F1"/>
    <w:rsid w:val="00D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D33C2-812B-48C8-865B-8C04802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2019-09-24T10:33:00Z</dcterms:created>
  <dcterms:modified xsi:type="dcterms:W3CDTF">2019-09-24T10:33:00Z</dcterms:modified>
</cp:coreProperties>
</file>